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44"/>
          <w:szCs w:val="44"/>
        </w:rPr>
      </w:pPr>
      <w:r>
        <w:rPr>
          <w:rFonts w:hint="eastAsia" w:ascii="仿宋" w:hAnsi="仿宋" w:eastAsia="仿宋" w:cs="仿宋"/>
          <w:b/>
          <w:bCs/>
          <w:sz w:val="30"/>
          <w:szCs w:val="30"/>
          <w:lang w:val="en-US" w:eastAsia="zh-CN"/>
        </w:rPr>
        <w:t xml:space="preserve"> </w:t>
      </w:r>
      <w:r>
        <w:rPr>
          <w:rFonts w:hint="eastAsia" w:asciiTheme="majorEastAsia" w:hAnsiTheme="majorEastAsia" w:eastAsiaTheme="majorEastAsia" w:cstheme="majorEastAsia"/>
          <w:b/>
          <w:bCs/>
          <w:kern w:val="44"/>
          <w:sz w:val="44"/>
          <w:szCs w:val="44"/>
        </w:rPr>
        <w:t>招标项目采购需求</w:t>
      </w: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一、采购需求</w:t>
      </w:r>
    </w:p>
    <w:p>
      <w:pPr>
        <w:pStyle w:val="2"/>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采购项目内容：专业医学眼镜镜片、镜架</w:t>
      </w:r>
    </w:p>
    <w:p>
      <w:pPr>
        <w:pStyle w:val="2"/>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、供应商资格条件：</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 xml:space="preserve">具有独立法人资格（须具有采购货物的经营范围）  </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供应商为制造商的，须提供有效的医疗器械生产企业许可证；供应商为代理商的，须提供有效的医疗器械经营企业许可证或具有第二类医疗器械经营备案凭证；</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具有中国总代理的授权书。</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根据《关于在政府采购活动中查询及使用信用记录有关问题的通知》(财库[2016]125号)的规定，对列入失信被执行人、重大税收违法案件当事人名单、政府采购严重违法失信行为记录名单的单位，拒绝参与本项目政府采购活动【查询渠道：“信用中国”网站（www.creditchina.gov.cn）、中国政府采购网（www.ccgp.gov.cn）】。</w:t>
      </w:r>
    </w:p>
    <w:p>
      <w:pPr>
        <w:pStyle w:val="2"/>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、对产品的要求</w:t>
      </w:r>
    </w:p>
    <w:p>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 xml:space="preserve">产品在一年内脱膜、掉膜免费更换，无忧售后，提供产品均为无忧产品。                                                                           </w:t>
      </w:r>
    </w:p>
    <w:p>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 xml:space="preserve">供应商方给院方提供产品培训、销售技巧培训、验光技术方面的指导。                                                                            </w:t>
      </w:r>
    </w:p>
    <w:p>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首批产品到店，</w:t>
      </w:r>
      <w:bookmarkStart w:id="1" w:name="_GoBack"/>
      <w:bookmarkEnd w:id="1"/>
      <w:r>
        <w:rPr>
          <w:rFonts w:hint="eastAsia" w:ascii="仿宋_GB2312" w:hAnsi="仿宋_GB2312" w:eastAsia="仿宋_GB2312" w:cs="仿宋_GB2312"/>
          <w:sz w:val="32"/>
          <w:szCs w:val="32"/>
          <w:lang w:val="en-US" w:eastAsia="zh-CN"/>
        </w:rPr>
        <w:t>配件</w:t>
      </w:r>
      <w:r>
        <w:rPr>
          <w:rFonts w:hint="eastAsia" w:ascii="仿宋_GB2312" w:hAnsi="仿宋_GB2312" w:eastAsia="仿宋_GB2312" w:cs="仿宋_GB2312"/>
          <w:sz w:val="32"/>
          <w:szCs w:val="32"/>
          <w:lang w:eastAsia="zh-CN"/>
        </w:rPr>
        <w:t>道具随货同行；</w:t>
      </w:r>
    </w:p>
    <w:p>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视觉子品,只做医院道渠、不做网点,不做眼镜店、专用眼科研发产品。</w:t>
      </w:r>
    </w:p>
    <w:p>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合作中的培训支持；</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①年度培训服务计划——区域集中式培训（全年不少于2场）；</w:t>
      </w:r>
    </w:p>
    <w:p>
      <w:pPr>
        <w:pStyle w:val="2"/>
        <w:rPr>
          <w:rFonts w:hint="eastAsia"/>
          <w:lang w:eastAsia="zh-CN"/>
        </w:rPr>
      </w:pPr>
      <w:r>
        <w:rPr>
          <w:rFonts w:hint="eastAsia" w:ascii="仿宋_GB2312" w:hAnsi="仿宋_GB2312" w:eastAsia="仿宋_GB2312" w:cs="仿宋_GB2312"/>
          <w:sz w:val="32"/>
          <w:szCs w:val="32"/>
          <w:lang w:eastAsia="zh-CN"/>
        </w:rPr>
        <w:t>②培训费用：全免费，课程、物料、住宿、餐饮等全部由供货商赞助提供。</w:t>
      </w:r>
    </w:p>
    <w:p>
      <w:pPr>
        <w:numPr>
          <w:ilvl w:val="0"/>
          <w:numId w:val="1"/>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竞标人编写的竞标文件要求及应包括的内容</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竞标文件编写要求：竞标文件有目录、页码并按顺序装订、整洁美观、齐全；投标文件必须由法定代表人或授权代理人（以有效授权委托文件为准）签名并加盖单位公章，否则无效。 </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投标文件内容（以下内容合订成一册即可）：</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1、商务部分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1.1、投标报价明细表（附件1）</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包含：服务名称、投标报价、其他必要项目或者说明</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2、技术部分</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2.1、证明竞标人合格和资格的文件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（1）有效的“营业执照”副本复印件（应清晰反映经营范围情况）；</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（2）有效的法定代表人身份证明及法定代表人身份证正反面复印件；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（3）有效的授权委托书原件及被委托人的身份证正反面复印件（委托代理时提供）；</w:t>
      </w:r>
    </w:p>
    <w:p>
      <w:pPr>
        <w:pStyle w:val="2"/>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（4）相关作业资质证明复印件；</w:t>
      </w:r>
    </w:p>
    <w:p>
      <w:pPr>
        <w:pStyle w:val="2"/>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（5）供应商认为须提供的其它资料；</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2.2、实施方案</w:t>
      </w:r>
    </w:p>
    <w:p>
      <w:pPr>
        <w:numPr>
          <w:ilvl w:val="0"/>
          <w:numId w:val="0"/>
        </w:numPr>
        <w:snapToGrid w:val="0"/>
        <w:spacing w:beforeLines="50" w:after="50"/>
        <w:jc w:val="both"/>
        <w:rPr>
          <w:rFonts w:hint="default" w:ascii="仿宋" w:hAnsi="仿宋" w:eastAsia="仿宋" w:cs="仿宋"/>
          <w:bCs/>
          <w:color w:val="auto"/>
          <w:sz w:val="30"/>
          <w:szCs w:val="30"/>
          <w:lang w:val="en-US" w:eastAsia="zh-CN"/>
        </w:rPr>
      </w:pPr>
      <w:r>
        <w:rPr>
          <w:rFonts w:hint="eastAsia" w:ascii="仿宋" w:hAnsi="仿宋" w:eastAsia="仿宋" w:cs="仿宋"/>
          <w:b w:val="0"/>
          <w:bCs w:val="0"/>
          <w:sz w:val="30"/>
          <w:szCs w:val="30"/>
          <w:lang w:val="en-US" w:eastAsia="zh-CN"/>
        </w:rPr>
        <w:t>2.3、</w:t>
      </w:r>
      <w:r>
        <w:rPr>
          <w:rFonts w:hint="eastAsia" w:ascii="仿宋" w:hAnsi="仿宋" w:eastAsia="仿宋" w:cs="仿宋"/>
          <w:bCs/>
          <w:color w:val="auto"/>
          <w:sz w:val="30"/>
          <w:szCs w:val="30"/>
        </w:rPr>
        <w:t>售后服务承诺书</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附件2）</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2.4、投标人认为需提供的材料说明等。</w:t>
      </w:r>
    </w:p>
    <w:p>
      <w:pPr>
        <w:numPr>
          <w:ilvl w:val="0"/>
          <w:numId w:val="0"/>
        </w:numPr>
        <w:snapToGrid w:val="0"/>
        <w:spacing w:beforeLines="50" w:after="50"/>
        <w:jc w:val="both"/>
        <w:rPr>
          <w:rFonts w:hint="eastAsia" w:ascii="仿宋" w:hAnsi="仿宋" w:eastAsia="仿宋" w:cs="仿宋"/>
          <w:b/>
          <w:bCs/>
          <w:sz w:val="32"/>
          <w:szCs w:val="32"/>
        </w:rPr>
      </w:pPr>
      <w:r>
        <w:rPr>
          <w:rFonts w:hint="eastAsia" w:ascii="仿宋" w:hAnsi="仿宋" w:eastAsia="仿宋" w:cs="仿宋"/>
          <w:b/>
          <w:bCs/>
          <w:sz w:val="30"/>
          <w:szCs w:val="30"/>
          <w:lang w:val="en-US" w:eastAsia="zh-CN"/>
        </w:rPr>
        <w:t xml:space="preserve">附件1                 </w:t>
      </w:r>
      <w:r>
        <w:rPr>
          <w:rFonts w:hint="eastAsia" w:ascii="仿宋" w:hAnsi="仿宋" w:eastAsia="仿宋" w:cs="仿宋"/>
          <w:b/>
          <w:bCs/>
          <w:sz w:val="32"/>
          <w:szCs w:val="32"/>
        </w:rPr>
        <w:t>投标报价明细表</w:t>
      </w:r>
    </w:p>
    <w:p>
      <w:pPr>
        <w:snapToGrid w:val="0"/>
        <w:spacing w:before="50" w:after="50"/>
        <w:ind w:firstLine="480" w:firstLineChars="200"/>
        <w:jc w:val="both"/>
        <w:rPr>
          <w:rFonts w:hint="eastAsia" w:ascii="仿宋" w:hAnsi="仿宋" w:eastAsia="仿宋" w:cs="仿宋"/>
          <w:sz w:val="24"/>
          <w:szCs w:val="24"/>
          <w:u w:val="single"/>
        </w:rPr>
      </w:pPr>
    </w:p>
    <w:tbl>
      <w:tblPr>
        <w:tblStyle w:val="5"/>
        <w:tblW w:w="79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901"/>
        <w:gridCol w:w="2069"/>
        <w:gridCol w:w="1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服务名称</w:t>
            </w: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（元/年）</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bl>
    <w:p>
      <w:pPr>
        <w:spacing w:line="480" w:lineRule="exact"/>
        <w:ind w:firstLine="5520" w:firstLineChars="2300"/>
        <w:jc w:val="both"/>
        <w:rPr>
          <w:rFonts w:hint="eastAsia" w:ascii="仿宋" w:hAnsi="仿宋" w:eastAsia="仿宋" w:cs="仿宋"/>
          <w:kern w:val="0"/>
          <w:sz w:val="24"/>
          <w:szCs w:val="24"/>
        </w:rPr>
      </w:pPr>
    </w:p>
    <w:p>
      <w:pPr>
        <w:spacing w:line="480" w:lineRule="exact"/>
        <w:ind w:firstLine="5520" w:firstLineChars="2300"/>
        <w:jc w:val="both"/>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left="5507" w:leftChars="2394" w:hanging="480" w:hangingChars="200"/>
        <w:jc w:val="both"/>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numPr>
          <w:ilvl w:val="0"/>
          <w:numId w:val="0"/>
        </w:numPr>
        <w:snapToGrid w:val="0"/>
        <w:spacing w:beforeLines="50" w:after="50"/>
        <w:ind w:firstLine="6000" w:firstLineChars="2500"/>
        <w:jc w:val="both"/>
        <w:rPr>
          <w:rFonts w:hint="eastAsia" w:ascii="仿宋" w:hAnsi="仿宋" w:eastAsia="仿宋" w:cs="仿宋"/>
          <w:b w:val="0"/>
          <w:bCs w:val="0"/>
          <w:sz w:val="30"/>
          <w:szCs w:val="30"/>
          <w:lang w:val="en-US" w:eastAsia="zh-CN"/>
        </w:rPr>
      </w:pPr>
      <w:r>
        <w:rPr>
          <w:rFonts w:hint="eastAsia" w:ascii="仿宋" w:hAnsi="仿宋" w:eastAsia="仿宋" w:cs="仿宋"/>
          <w:kern w:val="0"/>
          <w:sz w:val="24"/>
          <w:szCs w:val="24"/>
        </w:rPr>
        <w:t>年  月  日</w:t>
      </w:r>
    </w:p>
    <w:p>
      <w:pPr>
        <w:pStyle w:val="3"/>
        <w:jc w:val="center"/>
        <w:rPr>
          <w:rFonts w:hint="eastAsia"/>
          <w:b/>
          <w:sz w:val="32"/>
        </w:rPr>
      </w:pPr>
    </w:p>
    <w:p>
      <w:pPr>
        <w:pStyle w:val="3"/>
        <w:jc w:val="both"/>
        <w:rPr>
          <w:rFonts w:hint="eastAsia"/>
          <w:b/>
          <w:sz w:val="32"/>
        </w:rPr>
      </w:pPr>
    </w:p>
    <w:p>
      <w:pPr>
        <w:pStyle w:val="3"/>
        <w:jc w:val="both"/>
        <w:rPr>
          <w:b/>
          <w:sz w:val="32"/>
        </w:rPr>
      </w:pPr>
      <w:r>
        <w:rPr>
          <w:rFonts w:hint="eastAsia"/>
          <w:b/>
          <w:sz w:val="32"/>
          <w:lang w:val="en-US" w:eastAsia="zh-CN"/>
        </w:rPr>
        <w:t xml:space="preserve">附件2              </w:t>
      </w:r>
      <w:r>
        <w:rPr>
          <w:rFonts w:hint="eastAsia"/>
          <w:b/>
          <w:sz w:val="32"/>
        </w:rPr>
        <w:t xml:space="preserve">售后服务承诺书 </w:t>
      </w:r>
    </w:p>
    <w:p>
      <w:pPr>
        <w:pStyle w:val="3"/>
        <w:jc w:val="center"/>
      </w:pPr>
      <w:r>
        <w:rPr>
          <w:rFonts w:hint="eastAsia"/>
          <w:lang w:val="en-US" w:eastAsia="zh-CN"/>
        </w:rPr>
        <w:t xml:space="preserve">   </w:t>
      </w:r>
      <w:r>
        <w:rPr>
          <w:rFonts w:hint="eastAsia"/>
        </w:rPr>
        <w:t>(由报价人按售后服务及要求自行分别填写)</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both"/>
        <w:rPr>
          <w:rFonts w:hint="eastAsia" w:ascii="Times New Roman" w:hAnsi="Times New Roman"/>
          <w:b/>
          <w:bCs/>
          <w:sz w:val="30"/>
          <w:lang w:val="en-US" w:eastAsia="zh-CN"/>
        </w:rPr>
      </w:pPr>
      <w:r>
        <w:rPr>
          <w:rFonts w:hint="eastAsia" w:ascii="Times New Roman" w:hAnsi="Times New Roman"/>
          <w:b/>
          <w:bCs/>
          <w:sz w:val="30"/>
          <w:lang w:val="en-US" w:eastAsia="zh-CN"/>
        </w:rPr>
        <w:t>致：靖西市妇幼保健院</w:t>
      </w:r>
    </w:p>
    <w:p>
      <w:pPr>
        <w:pStyle w:val="3"/>
        <w:spacing w:line="500" w:lineRule="exact"/>
        <w:jc w:val="both"/>
        <w:rPr>
          <w:rFonts w:hint="default" w:ascii="Times New Roman" w:hAnsi="Times New Roman"/>
          <w:b/>
          <w:bCs/>
          <w:sz w:val="30"/>
          <w:lang w:val="en-US" w:eastAsia="zh-CN"/>
        </w:rPr>
      </w:pPr>
      <w:r>
        <w:rPr>
          <w:rFonts w:hint="eastAsia" w:ascii="Times New Roman" w:hAnsi="Times New Roman"/>
          <w:b/>
          <w:bCs/>
          <w:sz w:val="30"/>
          <w:lang w:val="en-US" w:eastAsia="zh-CN"/>
        </w:rPr>
        <w:t xml:space="preserve">     </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ascii="宋体" w:hAnsi="宋体" w:eastAsia="宋体" w:cs="Courier New"/>
          <w:sz w:val="24"/>
        </w:rPr>
      </w:pPr>
      <w:r>
        <w:rPr>
          <w:rFonts w:hint="eastAsia" w:ascii="宋体" w:hAnsi="宋体" w:eastAsia="宋体" w:cs="Courier New"/>
          <w:sz w:val="24"/>
        </w:rPr>
        <w:t>法定代表人或其委托代理人：</w:t>
      </w:r>
      <w:r>
        <w:rPr>
          <w:rFonts w:hint="eastAsia" w:ascii="宋体" w:hAnsi="宋体" w:eastAsia="宋体" w:cs="Courier New"/>
          <w:sz w:val="24"/>
          <w:u w:val="single"/>
        </w:rPr>
        <w:t xml:space="preserve">       （签名）         </w:t>
      </w:r>
    </w:p>
    <w:p>
      <w:pPr>
        <w:spacing w:line="600" w:lineRule="exact"/>
        <w:ind w:firstLine="480" w:firstLineChars="200"/>
        <w:jc w:val="left"/>
        <w:rPr>
          <w:rFonts w:ascii="宋体" w:hAnsi="宋体" w:eastAsia="宋体" w:cs="Courier New"/>
          <w:sz w:val="24"/>
          <w:u w:val="single"/>
        </w:rPr>
      </w:pPr>
      <w:r>
        <w:rPr>
          <w:rFonts w:hint="eastAsia" w:ascii="宋体" w:hAnsi="宋体" w:eastAsia="宋体" w:cs="Courier New"/>
          <w:sz w:val="24"/>
        </w:rPr>
        <w:t>报价人：</w:t>
      </w:r>
      <w:r>
        <w:rPr>
          <w:rFonts w:hint="eastAsia" w:ascii="宋体" w:hAnsi="宋体" w:eastAsia="宋体" w:cs="Courier New"/>
          <w:sz w:val="24"/>
          <w:u w:val="single"/>
        </w:rPr>
        <w:t xml:space="preserve">             （盖公章）                   </w:t>
      </w:r>
    </w:p>
    <w:p>
      <w:pPr>
        <w:spacing w:line="600" w:lineRule="exact"/>
        <w:ind w:firstLine="480" w:firstLineChars="200"/>
        <w:jc w:val="left"/>
        <w:rPr>
          <w:rFonts w:ascii="宋体" w:hAnsi="宋体" w:eastAsia="宋体" w:cs="Courier New"/>
          <w:sz w:val="24"/>
          <w:u w:val="single"/>
        </w:rPr>
      </w:pPr>
    </w:p>
    <w:p>
      <w:pPr>
        <w:jc w:val="left"/>
        <w:rPr>
          <w:rFonts w:ascii="Times New Roman" w:hAnsi="Times New Roman" w:eastAsia="宋体" w:cs="Times New Roman"/>
          <w:b/>
          <w:sz w:val="36"/>
          <w:szCs w:val="36"/>
        </w:rPr>
      </w:pPr>
      <w:r>
        <w:rPr>
          <w:rFonts w:hint="eastAsia" w:ascii="宋体" w:hAnsi="宋体" w:eastAsia="宋体" w:cs="Times New Roman"/>
          <w:sz w:val="24"/>
        </w:rPr>
        <w:t xml:space="preserve">          年    月    日</w:t>
      </w: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评标办法</w:t>
      </w:r>
      <w:bookmarkStart w:id="0" w:name="评标办法"/>
      <w:bookmarkEnd w:id="0"/>
      <w:r>
        <w:rPr>
          <w:rFonts w:hint="eastAsia" w:ascii="仿宋" w:hAnsi="仿宋" w:eastAsia="仿宋" w:cs="仿宋"/>
          <w:b/>
          <w:color w:val="auto"/>
          <w:sz w:val="32"/>
          <w:szCs w:val="32"/>
          <w:highlight w:val="none"/>
        </w:rPr>
        <w:t xml:space="preserve"> </w:t>
      </w:r>
    </w:p>
    <w:p>
      <w:pPr>
        <w:widowControl/>
        <w:snapToGrid w:val="0"/>
        <w:spacing w:line="360" w:lineRule="exact"/>
        <w:ind w:right="120" w:firstLine="36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一、评标原则</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(一)评委构成：本招标采购项目的评委由</w:t>
      </w:r>
      <w:r>
        <w:rPr>
          <w:rFonts w:hint="eastAsia" w:ascii="仿宋" w:hAnsi="仿宋" w:eastAsia="仿宋" w:cs="仿宋"/>
          <w:bCs/>
          <w:color w:val="auto"/>
          <w:sz w:val="30"/>
          <w:szCs w:val="30"/>
          <w:highlight w:val="none"/>
          <w:lang w:val="en-US" w:eastAsia="zh-CN"/>
        </w:rPr>
        <w:t>本单位采购小组成员组成。</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(二)评标依据：评委将以招投标文件为评标依据，对投标人的</w:t>
      </w:r>
      <w:r>
        <w:rPr>
          <w:rFonts w:hint="eastAsia" w:ascii="仿宋" w:hAnsi="仿宋" w:eastAsia="仿宋" w:cs="仿宋"/>
          <w:bCs/>
          <w:color w:val="auto"/>
          <w:sz w:val="30"/>
          <w:szCs w:val="30"/>
          <w:highlight w:val="none"/>
          <w:u w:val="single"/>
        </w:rPr>
        <w:t>投标报价、</w:t>
      </w:r>
      <w:r>
        <w:rPr>
          <w:rFonts w:hint="eastAsia" w:ascii="仿宋" w:hAnsi="仿宋" w:eastAsia="仿宋" w:cs="仿宋"/>
          <w:bCs/>
          <w:color w:val="auto"/>
          <w:sz w:val="30"/>
          <w:szCs w:val="30"/>
          <w:highlight w:val="none"/>
          <w:u w:val="single"/>
          <w:lang w:val="en-US" w:eastAsia="zh-CN"/>
        </w:rPr>
        <w:t>资质证明、</w:t>
      </w:r>
      <w:r>
        <w:rPr>
          <w:rFonts w:hint="eastAsia" w:ascii="仿宋" w:hAnsi="仿宋" w:eastAsia="仿宋" w:cs="仿宋"/>
          <w:bCs/>
          <w:color w:val="auto"/>
          <w:sz w:val="30"/>
          <w:szCs w:val="30"/>
          <w:u w:val="single"/>
        </w:rPr>
        <w:t>货物性能</w:t>
      </w:r>
      <w:r>
        <w:rPr>
          <w:rFonts w:hint="eastAsia" w:ascii="仿宋" w:hAnsi="仿宋" w:eastAsia="仿宋" w:cs="仿宋"/>
          <w:bCs/>
          <w:color w:val="auto"/>
          <w:sz w:val="30"/>
          <w:szCs w:val="30"/>
          <w:highlight w:val="none"/>
          <w:u w:val="single"/>
        </w:rPr>
        <w:t>、实施方案、售后服务方案、综合实力</w:t>
      </w:r>
      <w:r>
        <w:rPr>
          <w:rFonts w:hint="eastAsia" w:ascii="仿宋" w:hAnsi="仿宋" w:eastAsia="仿宋" w:cs="仿宋"/>
          <w:bCs/>
          <w:color w:val="auto"/>
          <w:sz w:val="30"/>
          <w:szCs w:val="30"/>
          <w:highlight w:val="none"/>
        </w:rPr>
        <w:t>等方面内容按百分制打分。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(三)评标方式：以封闭方式进行。</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1、</w:t>
      </w:r>
      <w:r>
        <w:rPr>
          <w:rFonts w:hint="eastAsia" w:ascii="仿宋" w:hAnsi="仿宋" w:eastAsia="仿宋" w:cs="仿宋"/>
          <w:b/>
          <w:color w:val="auto"/>
          <w:sz w:val="30"/>
          <w:szCs w:val="30"/>
          <w:highlight w:val="none"/>
        </w:rPr>
        <w:t>资质证明</w:t>
      </w:r>
      <w:r>
        <w:rPr>
          <w:rFonts w:hint="eastAsia" w:ascii="仿宋" w:hAnsi="仿宋" w:eastAsia="仿宋" w:cs="仿宋"/>
          <w:b/>
          <w:color w:val="auto"/>
          <w:sz w:val="30"/>
          <w:szCs w:val="30"/>
          <w:highlight w:val="none"/>
          <w:lang w:val="en-US" w:eastAsia="zh-CN"/>
        </w:rPr>
        <w:t>得分</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val="0"/>
          <w:bCs/>
          <w:color w:val="auto"/>
          <w:sz w:val="30"/>
          <w:szCs w:val="30"/>
          <w:highlight w:val="none"/>
        </w:rPr>
        <w:t>供货公司资质齐全得</w:t>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z w:val="30"/>
          <w:szCs w:val="30"/>
          <w:highlight w:val="none"/>
        </w:rPr>
        <w:t>分；没有的不得分。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价格分</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40</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以经初步审查后的有效报价的最低价作为评标基准价。</w:t>
      </w:r>
    </w:p>
    <w:p>
      <w:pPr>
        <w:pStyle w:val="3"/>
        <w:keepNext w:val="0"/>
        <w:keepLines w:val="0"/>
        <w:pageBreakBefore w:val="0"/>
        <w:widowControl w:val="0"/>
        <w:kinsoku/>
        <w:wordWrap/>
        <w:overflowPunct/>
        <w:topLinePunct w:val="0"/>
        <w:autoSpaceDE/>
        <w:autoSpaceDN/>
        <w:bidi w:val="0"/>
        <w:adjustRightInd/>
        <w:snapToGrid/>
        <w:spacing w:line="300" w:lineRule="auto"/>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某有效投标人价格分=有效投标人最低评标价/某有效投标人评标价×</w:t>
      </w:r>
      <w:r>
        <w:rPr>
          <w:rFonts w:hint="eastAsia" w:ascii="仿宋" w:hAnsi="仿宋" w:eastAsia="仿宋" w:cs="仿宋"/>
          <w:bCs/>
          <w:color w:val="auto"/>
          <w:sz w:val="30"/>
          <w:szCs w:val="30"/>
          <w:highlight w:val="none"/>
          <w:lang w:val="en-US" w:eastAsia="zh-CN"/>
        </w:rPr>
        <w:t>40</w:t>
      </w:r>
      <w:r>
        <w:rPr>
          <w:rFonts w:hint="eastAsia" w:ascii="仿宋" w:hAnsi="仿宋" w:eastAsia="仿宋" w:cs="仿宋"/>
          <w:bCs/>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技术服务</w:t>
      </w:r>
      <w:r>
        <w:rPr>
          <w:rFonts w:hint="eastAsia" w:ascii="仿宋" w:hAnsi="仿宋" w:eastAsia="仿宋" w:cs="仿宋"/>
          <w:b/>
          <w:color w:val="auto"/>
          <w:sz w:val="30"/>
          <w:szCs w:val="30"/>
          <w:highlight w:val="none"/>
        </w:rPr>
        <w:t>分………………………</w:t>
      </w:r>
      <w:r>
        <w:rPr>
          <w:rFonts w:hint="eastAsia" w:ascii="仿宋" w:hAnsi="仿宋" w:eastAsia="仿宋" w:cs="仿宋"/>
          <w:b/>
          <w:color w:val="auto"/>
          <w:sz w:val="30"/>
          <w:szCs w:val="30"/>
          <w:highlight w:val="none"/>
          <w:lang w:val="en-US" w:eastAsia="zh-CN"/>
        </w:rPr>
        <w:t>20</w:t>
      </w:r>
      <w:r>
        <w:rPr>
          <w:rFonts w:hint="eastAsia" w:ascii="仿宋" w:hAnsi="仿宋" w:eastAsia="仿宋" w:cs="仿宋"/>
          <w:b/>
          <w:color w:val="auto"/>
          <w:sz w:val="30"/>
          <w:szCs w:val="30"/>
          <w:highlight w:val="none"/>
        </w:rPr>
        <w:t>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未提供该项内容或达不到一档要求的为0分。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一档（</w:t>
      </w:r>
      <w:r>
        <w:rPr>
          <w:rFonts w:hint="eastAsia" w:ascii="仿宋" w:hAnsi="仿宋" w:eastAsia="仿宋" w:cs="仿宋"/>
          <w:bCs/>
          <w:color w:val="000000"/>
          <w:sz w:val="30"/>
          <w:szCs w:val="30"/>
          <w:lang w:val="en-US" w:eastAsia="zh-CN"/>
        </w:rPr>
        <w:t>5</w:t>
      </w:r>
      <w:r>
        <w:rPr>
          <w:rFonts w:hint="eastAsia" w:ascii="仿宋" w:hAnsi="仿宋" w:eastAsia="仿宋" w:cs="仿宋"/>
          <w:bCs/>
          <w:color w:val="000000"/>
          <w:sz w:val="30"/>
          <w:szCs w:val="30"/>
        </w:rPr>
        <w:t>分）：服务实施方案可行性较差，针对性不强；基本满足采购</w:t>
      </w:r>
      <w:r>
        <w:rPr>
          <w:rFonts w:hint="eastAsia" w:ascii="仿宋_GB2312" w:hAnsi="仿宋_GB2312" w:eastAsia="仿宋_GB2312" w:cs="仿宋_GB2312"/>
          <w:sz w:val="32"/>
          <w:szCs w:val="32"/>
          <w:lang w:val="en-US" w:eastAsia="zh-CN"/>
        </w:rPr>
        <w:t>镜片、镜架的</w:t>
      </w:r>
      <w:r>
        <w:rPr>
          <w:rFonts w:hint="eastAsia" w:ascii="仿宋" w:hAnsi="仿宋" w:eastAsia="仿宋" w:cs="仿宋"/>
          <w:bCs/>
          <w:color w:val="000000"/>
          <w:sz w:val="30"/>
          <w:szCs w:val="30"/>
        </w:rPr>
        <w:t>要求，对接待任务要求反应差，没有制定有针对性的实施方案。</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二档（</w:t>
      </w:r>
      <w:r>
        <w:rPr>
          <w:rFonts w:hint="eastAsia" w:ascii="仿宋" w:hAnsi="仿宋" w:eastAsia="仿宋" w:cs="仿宋"/>
          <w:bCs/>
          <w:color w:val="000000"/>
          <w:sz w:val="30"/>
          <w:szCs w:val="30"/>
          <w:lang w:val="en-US" w:eastAsia="zh-CN"/>
        </w:rPr>
        <w:t>10</w:t>
      </w:r>
      <w:r>
        <w:rPr>
          <w:rFonts w:hint="eastAsia" w:ascii="仿宋" w:hAnsi="仿宋" w:eastAsia="仿宋" w:cs="仿宋"/>
          <w:bCs/>
          <w:color w:val="000000"/>
          <w:sz w:val="30"/>
          <w:szCs w:val="30"/>
        </w:rPr>
        <w:t>分）：服务实施方案可行性一般，针对性一般，作业流程较为简单；尚能满足采购人</w:t>
      </w:r>
      <w:r>
        <w:rPr>
          <w:rFonts w:hint="eastAsia" w:ascii="仿宋_GB2312" w:hAnsi="仿宋_GB2312" w:eastAsia="仿宋_GB2312" w:cs="仿宋_GB2312"/>
          <w:sz w:val="32"/>
          <w:szCs w:val="32"/>
          <w:lang w:val="en-US" w:eastAsia="zh-CN"/>
        </w:rPr>
        <w:t>对镜片、镜架的</w:t>
      </w:r>
      <w:r>
        <w:rPr>
          <w:rFonts w:hint="eastAsia" w:ascii="仿宋" w:hAnsi="仿宋" w:eastAsia="仿宋" w:cs="仿宋"/>
          <w:bCs/>
          <w:color w:val="000000"/>
          <w:sz w:val="30"/>
          <w:szCs w:val="30"/>
        </w:rPr>
        <w:t>正常供应要求，对接待任务要求反应一般，制定有实施方案但方案一般。</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三档（</w:t>
      </w:r>
      <w:r>
        <w:rPr>
          <w:rFonts w:hint="eastAsia" w:ascii="仿宋" w:hAnsi="仿宋" w:eastAsia="仿宋" w:cs="仿宋"/>
          <w:bCs/>
          <w:color w:val="000000"/>
          <w:sz w:val="30"/>
          <w:szCs w:val="30"/>
          <w:lang w:val="en-US" w:eastAsia="zh-CN"/>
        </w:rPr>
        <w:t>20</w:t>
      </w:r>
      <w:r>
        <w:rPr>
          <w:rFonts w:hint="eastAsia" w:ascii="仿宋" w:hAnsi="仿宋" w:eastAsia="仿宋" w:cs="仿宋"/>
          <w:bCs/>
          <w:color w:val="000000"/>
          <w:sz w:val="30"/>
          <w:szCs w:val="30"/>
        </w:rPr>
        <w:t>分）：服务实施方案可行性强，有较强的针对性，有具体的作业流程；满足采购人</w:t>
      </w:r>
      <w:r>
        <w:rPr>
          <w:rFonts w:hint="eastAsia" w:ascii="仿宋_GB2312" w:hAnsi="仿宋_GB2312" w:eastAsia="仿宋_GB2312" w:cs="仿宋_GB2312"/>
          <w:sz w:val="32"/>
          <w:szCs w:val="32"/>
          <w:lang w:val="en-US" w:eastAsia="zh-CN"/>
        </w:rPr>
        <w:t>镜片、镜架的</w:t>
      </w:r>
      <w:r>
        <w:rPr>
          <w:rFonts w:hint="eastAsia" w:ascii="仿宋" w:hAnsi="仿宋" w:eastAsia="仿宋" w:cs="仿宋"/>
          <w:bCs/>
          <w:color w:val="000000"/>
          <w:sz w:val="30"/>
          <w:szCs w:val="30"/>
        </w:rPr>
        <w:t>正常供应要求，对接待任务要求反应迅速，并制定有针对性的实施方案，能较好按时完成服务任务的。</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、售后服务方案分………………………………</w:t>
      </w:r>
      <w:r>
        <w:rPr>
          <w:rFonts w:hint="eastAsia" w:ascii="仿宋" w:hAnsi="仿宋" w:eastAsia="仿宋" w:cs="仿宋"/>
          <w:b/>
          <w:color w:val="auto"/>
          <w:sz w:val="30"/>
          <w:szCs w:val="30"/>
          <w:highlight w:val="none"/>
          <w:lang w:val="en-US" w:eastAsia="zh-CN"/>
        </w:rPr>
        <w:t>35</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由评委依据投标文件中售后服务承诺书内容的完整性、可行性、出现质量问题的响应时间及解决方案、培训方案、其他优惠措施及方案等方面，集体讨论确定各投标人项目售后服务方案的等级后，在相应等级内由各评委独立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一档（0 分）：无售后服务方案或售后服务方案不合理。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二</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20</w:t>
      </w:r>
      <w:r>
        <w:rPr>
          <w:rFonts w:hint="eastAsia" w:ascii="仿宋" w:hAnsi="仿宋" w:eastAsia="仿宋" w:cs="仿宋"/>
          <w:bCs/>
          <w:color w:val="auto"/>
          <w:sz w:val="30"/>
          <w:szCs w:val="30"/>
          <w:highlight w:val="none"/>
        </w:rPr>
        <w:t>分）：提供售后服务方案，全部满足采购文件要求</w:t>
      </w:r>
      <w:r>
        <w:rPr>
          <w:rFonts w:hint="eastAsia" w:ascii="仿宋" w:hAnsi="仿宋" w:eastAsia="仿宋" w:cs="仿宋"/>
          <w:bCs/>
          <w:color w:val="auto"/>
          <w:sz w:val="30"/>
          <w:szCs w:val="30"/>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35</w:t>
      </w:r>
      <w:r>
        <w:rPr>
          <w:rFonts w:hint="eastAsia" w:ascii="仿宋" w:hAnsi="仿宋" w:eastAsia="仿宋" w:cs="仿宋"/>
          <w:bCs/>
          <w:color w:val="auto"/>
          <w:sz w:val="30"/>
          <w:szCs w:val="30"/>
          <w:highlight w:val="none"/>
        </w:rPr>
        <w:t>分）：满足采购文件要求，售后服务方案表述清晰、完整，措施具体有效可行</w:t>
      </w:r>
      <w:r>
        <w:rPr>
          <w:rFonts w:hint="eastAsia" w:ascii="仿宋" w:hAnsi="仿宋" w:eastAsia="仿宋" w:cs="仿宋"/>
          <w:bCs/>
          <w:color w:val="auto"/>
          <w:sz w:val="30"/>
          <w:szCs w:val="30"/>
          <w:highlight w:val="none"/>
          <w:lang w:eastAsia="zh-CN"/>
        </w:rPr>
        <w:t>，本地化服务</w:t>
      </w:r>
      <w:r>
        <w:rPr>
          <w:rFonts w:hint="eastAsia" w:ascii="仿宋" w:hAnsi="仿宋" w:eastAsia="仿宋" w:cs="仿宋"/>
          <w:bCs/>
          <w:color w:val="auto"/>
          <w:sz w:val="30"/>
          <w:szCs w:val="30"/>
          <w:highlight w:val="none"/>
          <w:lang w:val="en-US" w:eastAsia="zh-CN"/>
        </w:rPr>
        <w:t>质量</w:t>
      </w:r>
      <w:r>
        <w:rPr>
          <w:rFonts w:hint="eastAsia" w:ascii="仿宋" w:hAnsi="仿宋" w:eastAsia="仿宋" w:cs="仿宋"/>
          <w:bCs/>
          <w:color w:val="auto"/>
          <w:sz w:val="30"/>
          <w:szCs w:val="30"/>
          <w:highlight w:val="none"/>
          <w:lang w:eastAsia="zh-CN"/>
        </w:rPr>
        <w:t>支持良好，有详细的售后服务流程，</w:t>
      </w:r>
      <w:r>
        <w:rPr>
          <w:rFonts w:hint="eastAsia" w:ascii="仿宋" w:hAnsi="仿宋" w:eastAsia="仿宋" w:cs="仿宋"/>
          <w:bCs/>
          <w:color w:val="auto"/>
          <w:sz w:val="30"/>
          <w:szCs w:val="30"/>
          <w:highlight w:val="none"/>
          <w:lang w:val="en-US" w:eastAsia="zh-CN"/>
        </w:rPr>
        <w:t>并积极采取采购方对本次项目制作提出的意见。</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30"/>
          <w:szCs w:val="30"/>
        </w:rPr>
      </w:pPr>
    </w:p>
    <w:p>
      <w:pPr>
        <w:snapToGrid w:val="0"/>
        <w:spacing w:before="50" w:afterLines="50"/>
        <w:jc w:val="both"/>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839EE"/>
    <w:multiLevelType w:val="singleLevel"/>
    <w:tmpl w:val="69C83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01210972"/>
    <w:rsid w:val="0C523C9E"/>
    <w:rsid w:val="1D347F99"/>
    <w:rsid w:val="26C32C2B"/>
    <w:rsid w:val="2CEB556C"/>
    <w:rsid w:val="31E411EA"/>
    <w:rsid w:val="61233E9C"/>
    <w:rsid w:val="63DF3CA6"/>
    <w:rsid w:val="6AAE6714"/>
    <w:rsid w:val="6D8D04E2"/>
    <w:rsid w:val="70523BB3"/>
    <w:rsid w:val="77FA12C8"/>
    <w:rsid w:val="7AD2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件正文"/>
    <w:basedOn w:val="1"/>
    <w:qFormat/>
    <w:uiPriority w:val="0"/>
    <w:pPr>
      <w:widowControl/>
      <w:ind w:firstLine="420"/>
      <w:jc w:val="left"/>
    </w:pPr>
    <w:rPr>
      <w:rFonts w:ascii="Calibri" w:hAnsi="Calibri"/>
    </w:rPr>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2237</Words>
  <Characters>2279</Characters>
  <Lines>0</Lines>
  <Paragraphs>0</Paragraphs>
  <TotalTime>10</TotalTime>
  <ScaleCrop>false</ScaleCrop>
  <LinksUpToDate>false</LinksUpToDate>
  <CharactersWithSpaces>2405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2023-08-04T02:56:00Z</dcterms:created>
  <dc:creator>Administrator</dc:creator>
  <cp:lastModifiedBy>Administrator</cp:lastModifiedBy>
  <dcterms:modified xsi:type="dcterms:W3CDTF">2023-09-27T07:24:44Z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86B01C47FF824D6EB87E5819B3D7278A_12</vt:lpwstr>
  </property>
</Properties>
</file>